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BF" w:rsidRPr="007932BF" w:rsidRDefault="007932BF" w:rsidP="007932BF">
      <w:pPr>
        <w:rPr>
          <w:b/>
          <w:bCs/>
        </w:rPr>
      </w:pPr>
      <w:bookmarkStart w:id="0" w:name="_GoBack"/>
      <w:bookmarkEnd w:id="0"/>
      <w:r w:rsidRPr="007932BF">
        <w:rPr>
          <w:b/>
          <w:bCs/>
        </w:rPr>
        <w:t>Załącznik – FORMULARZ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932BF" w:rsidRPr="007932BF" w:rsidTr="000A04BC">
        <w:tc>
          <w:tcPr>
            <w:tcW w:w="9056" w:type="dxa"/>
            <w:shd w:val="clear" w:color="auto" w:fill="D9D9D9" w:themeFill="background1" w:themeFillShade="D9"/>
          </w:tcPr>
          <w:p w:rsidR="007932BF" w:rsidRPr="007932BF" w:rsidRDefault="007932BF" w:rsidP="007932BF">
            <w:pPr>
              <w:spacing w:after="160" w:line="259" w:lineRule="auto"/>
              <w:rPr>
                <w:b/>
                <w:bCs/>
              </w:rPr>
            </w:pPr>
            <w:r w:rsidRPr="007932BF">
              <w:rPr>
                <w:b/>
                <w:bCs/>
              </w:rPr>
              <w:t>INSTRUKCJA:</w:t>
            </w:r>
          </w:p>
          <w:p w:rsidR="007932BF" w:rsidRPr="007932BF" w:rsidRDefault="007932BF" w:rsidP="007932BF">
            <w:pPr>
              <w:numPr>
                <w:ilvl w:val="0"/>
                <w:numId w:val="1"/>
              </w:numPr>
              <w:spacing w:after="160" w:line="259" w:lineRule="auto"/>
            </w:pPr>
            <w:r w:rsidRPr="007932BF">
              <w:t>Formularz składa się z dwóch części – A i B.</w:t>
            </w:r>
          </w:p>
          <w:p w:rsidR="007932BF" w:rsidRPr="007932BF" w:rsidRDefault="007932BF" w:rsidP="007932BF">
            <w:pPr>
              <w:numPr>
                <w:ilvl w:val="0"/>
                <w:numId w:val="1"/>
              </w:numPr>
              <w:spacing w:after="160" w:line="259" w:lineRule="auto"/>
            </w:pPr>
            <w:r w:rsidRPr="007932BF">
              <w:t>W części A należy podać dane dotyczące podmiotu, w imieniu którego formularz jest wypełniany. Informacje zawarte w części A mają charakter statystyczny i odnoszą się do cech charakteryzujących respondenta, które są istotne z punktu widzenia podejmowanego badania.</w:t>
            </w:r>
          </w:p>
          <w:p w:rsidR="007932BF" w:rsidRPr="007932BF" w:rsidRDefault="007932BF" w:rsidP="007932BF">
            <w:pPr>
              <w:numPr>
                <w:ilvl w:val="0"/>
                <w:numId w:val="1"/>
              </w:numPr>
              <w:spacing w:after="160" w:line="259" w:lineRule="auto"/>
            </w:pPr>
            <w:r w:rsidRPr="007932BF">
              <w:t>Podmiot, w imieniu którego wypełniany jest FORMULARZ, określany jest w nim jako „RESPONDENT”.</w:t>
            </w:r>
          </w:p>
          <w:p w:rsidR="007932BF" w:rsidRPr="007932BF" w:rsidRDefault="007932BF" w:rsidP="007932BF">
            <w:pPr>
              <w:numPr>
                <w:ilvl w:val="0"/>
                <w:numId w:val="1"/>
              </w:numPr>
              <w:spacing w:after="160" w:line="259" w:lineRule="auto"/>
            </w:pPr>
            <w:r w:rsidRPr="007932BF">
              <w:t xml:space="preserve">W części B przedstawiono kryteria, które powinny zostać uszeregowane w kolejności </w:t>
            </w:r>
          </w:p>
          <w:p w:rsidR="007932BF" w:rsidRPr="007932BF" w:rsidRDefault="007932BF" w:rsidP="007932BF">
            <w:pPr>
              <w:numPr>
                <w:ilvl w:val="1"/>
                <w:numId w:val="1"/>
              </w:numPr>
              <w:spacing w:after="160" w:line="259" w:lineRule="auto"/>
            </w:pPr>
            <w:r w:rsidRPr="007932BF">
              <w:t xml:space="preserve">od kryterium o </w:t>
            </w:r>
            <w:r w:rsidRPr="007932BF">
              <w:rPr>
                <w:b/>
                <w:bCs/>
              </w:rPr>
              <w:t>najwyższym</w:t>
            </w:r>
            <w:r w:rsidRPr="007932BF">
              <w:t xml:space="preserve"> potencjale,</w:t>
            </w:r>
          </w:p>
          <w:p w:rsidR="007932BF" w:rsidRPr="007932BF" w:rsidRDefault="007932BF" w:rsidP="007932BF">
            <w:pPr>
              <w:numPr>
                <w:ilvl w:val="1"/>
                <w:numId w:val="1"/>
              </w:numPr>
              <w:spacing w:after="160" w:line="259" w:lineRule="auto"/>
            </w:pPr>
            <w:r w:rsidRPr="007932BF">
              <w:t xml:space="preserve">do kryterium o </w:t>
            </w:r>
            <w:r w:rsidRPr="007932BF">
              <w:rPr>
                <w:b/>
                <w:bCs/>
              </w:rPr>
              <w:t>najniższym</w:t>
            </w:r>
            <w:r w:rsidRPr="007932BF">
              <w:t xml:space="preserve"> potencjale,</w:t>
            </w:r>
          </w:p>
          <w:p w:rsidR="007932BF" w:rsidRPr="007932BF" w:rsidRDefault="007932BF" w:rsidP="007932BF">
            <w:pPr>
              <w:spacing w:after="160" w:line="259" w:lineRule="auto"/>
            </w:pPr>
            <w:r w:rsidRPr="007932BF">
              <w:t xml:space="preserve">- w zakresie realizacji zasady </w:t>
            </w:r>
            <w:r w:rsidRPr="007932BF">
              <w:rPr>
                <w:i/>
                <w:iCs/>
              </w:rPr>
              <w:t>best value for money</w:t>
            </w:r>
            <w:r w:rsidRPr="007932BF">
              <w:t xml:space="preserve"> oraz wspierania </w:t>
            </w:r>
            <w:r w:rsidRPr="007932BF">
              <w:rPr>
                <w:i/>
              </w:rPr>
              <w:t>local content</w:t>
            </w:r>
            <w:r w:rsidRPr="007932BF">
              <w:t xml:space="preserve"> w znaczeniu, jakie tym celom przypisano w piśmie przewodnim.</w:t>
            </w:r>
          </w:p>
          <w:p w:rsidR="007932BF" w:rsidRPr="007932BF" w:rsidRDefault="007932BF" w:rsidP="007932BF">
            <w:pPr>
              <w:numPr>
                <w:ilvl w:val="0"/>
                <w:numId w:val="1"/>
              </w:numPr>
              <w:spacing w:after="160" w:line="259" w:lineRule="auto"/>
            </w:pPr>
            <w:r w:rsidRPr="007932BF">
              <w:t>Jeżeli w ocenie respondenta katalog kryteriów podlegających uszeregowaniu powinien zostać rozszerzony o kryterium dodatkowe, należy dopisać je w odpowiednim miejscu przygotowanej hierarchii i opatrzyć syntetycznym uzasadnieniem.</w:t>
            </w:r>
          </w:p>
          <w:p w:rsidR="007932BF" w:rsidRPr="007932BF" w:rsidRDefault="007932BF" w:rsidP="007932BF">
            <w:pPr>
              <w:numPr>
                <w:ilvl w:val="0"/>
                <w:numId w:val="1"/>
              </w:numPr>
              <w:spacing w:after="160" w:line="259" w:lineRule="auto"/>
            </w:pPr>
            <w:r w:rsidRPr="007932BF">
              <w:t>Bezpośrednio po katalogu kryteriów, które należy uszeregować, zawarto słowniczek zawierający objaśnienie, w jaki sposób należy rozumieć poszczególne kryteria podlegające szeregowaniu.</w:t>
            </w:r>
          </w:p>
          <w:p w:rsidR="007932BF" w:rsidRPr="007932BF" w:rsidRDefault="007932BF" w:rsidP="007932BF">
            <w:pPr>
              <w:spacing w:after="160" w:line="259" w:lineRule="auto"/>
            </w:pPr>
          </w:p>
        </w:tc>
      </w:tr>
    </w:tbl>
    <w:p w:rsidR="007932BF" w:rsidRPr="007932BF" w:rsidRDefault="007932BF" w:rsidP="007932BF">
      <w:pPr>
        <w:rPr>
          <w:b/>
          <w:bCs/>
        </w:rPr>
      </w:pPr>
    </w:p>
    <w:p w:rsidR="007932BF" w:rsidRPr="007932BF" w:rsidRDefault="007932BF" w:rsidP="007932BF">
      <w:pPr>
        <w:rPr>
          <w:b/>
          <w:bCs/>
        </w:rPr>
      </w:pPr>
      <w:r w:rsidRPr="007932BF">
        <w:rPr>
          <w:b/>
          <w:bCs/>
        </w:rPr>
        <w:t xml:space="preserve">Część A. Informacje o znaczeniu statystycznym </w:t>
      </w:r>
      <w:r w:rsidRPr="007932BF">
        <w:t xml:space="preserve">(należy </w:t>
      </w:r>
      <w:r w:rsidRPr="007932BF">
        <w:rPr>
          <w:u w:val="single"/>
        </w:rPr>
        <w:t>podkreślić</w:t>
      </w:r>
      <w:r w:rsidRPr="007932BF">
        <w:t xml:space="preserve"> właściwe)</w:t>
      </w:r>
      <w:r w:rsidRPr="007932BF">
        <w:rPr>
          <w:b/>
          <w:bCs/>
        </w:rPr>
        <w:t>:</w:t>
      </w:r>
    </w:p>
    <w:p w:rsidR="007932BF" w:rsidRPr="007932BF" w:rsidRDefault="007932BF" w:rsidP="007932BF">
      <w:pPr>
        <w:numPr>
          <w:ilvl w:val="0"/>
          <w:numId w:val="2"/>
        </w:numPr>
        <w:rPr>
          <w:b/>
          <w:bCs/>
        </w:rPr>
      </w:pPr>
      <w:r w:rsidRPr="007932BF">
        <w:rPr>
          <w:b/>
          <w:bCs/>
        </w:rPr>
        <w:t>RESPONDENT na terytorium Rzeczpospolitej Polskiej: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posiada siedzibę,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posiada oddział,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nie posiada ani siedziby ani oddziału.</w:t>
      </w:r>
    </w:p>
    <w:p w:rsidR="007932BF" w:rsidRPr="007932BF" w:rsidRDefault="007932BF" w:rsidP="007932BF">
      <w:pPr>
        <w:numPr>
          <w:ilvl w:val="0"/>
          <w:numId w:val="2"/>
        </w:numPr>
        <w:rPr>
          <w:b/>
          <w:bCs/>
        </w:rPr>
      </w:pPr>
      <w:r w:rsidRPr="007932BF">
        <w:rPr>
          <w:b/>
          <w:bCs/>
        </w:rPr>
        <w:t>W związku z prowadzoną działalnością gospodarczą RESPONDENT prowadzi na terytorium Rzeczpospolitej Polskiej badania naukowe/prace rozwojowe lub współpracuje z podmiotami systemu szkolnictwa wyższego i nauki w rozumieniu art. 7 ustawy z dnia 20 lipca 2018 r. Prawo o szkolnictwie wyższym i nauce: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TAK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NIE</w:t>
      </w:r>
    </w:p>
    <w:p w:rsidR="007932BF" w:rsidRPr="007932BF" w:rsidRDefault="007932BF" w:rsidP="007932BF"/>
    <w:p w:rsidR="007932BF" w:rsidRPr="007932BF" w:rsidRDefault="007932BF" w:rsidP="007932BF">
      <w:pPr>
        <w:numPr>
          <w:ilvl w:val="0"/>
          <w:numId w:val="2"/>
        </w:numPr>
        <w:rPr>
          <w:b/>
          <w:bCs/>
        </w:rPr>
      </w:pPr>
      <w:r w:rsidRPr="007932BF">
        <w:rPr>
          <w:i/>
          <w:iCs/>
        </w:rPr>
        <w:t xml:space="preserve">Odpowiedzi należy udzielić wyłącznie, jeśli RESPONDENT zajmuje się produkcją lub dostarczaniem produktów </w:t>
      </w:r>
      <w:r w:rsidRPr="007932BF">
        <w:t xml:space="preserve">– </w:t>
      </w:r>
      <w:r w:rsidRPr="007932BF">
        <w:rPr>
          <w:b/>
          <w:bCs/>
        </w:rPr>
        <w:t>oferowane przez RESPONDENTA dostawy są poddane ostatniemu istotnemu przetworzeniu w rozumieniu Komunikatu Komisji Europejskiej 2023/C 64/04 (tj. „pochodzą z”):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w Polsce, w województwie pomorskim, zachodnio-pomorskim, lub warmińsko-mazurskim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w Polsce (w innym województwie niż wymienione w lit. a. powyżej),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w państwie członkowskim UE, którego linię brzegową wyznacza m.in. linia brzegowa Morza Bałtyckiego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w państwie członkowskim UE (innym niż wymienione w lit. c. powyżej),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 xml:space="preserve">w państwie nie będącym członkiem UE. </w:t>
      </w:r>
    </w:p>
    <w:p w:rsidR="007932BF" w:rsidRPr="007932BF" w:rsidRDefault="007932BF" w:rsidP="007932BF">
      <w:pPr>
        <w:rPr>
          <w:b/>
          <w:bCs/>
        </w:rPr>
      </w:pPr>
    </w:p>
    <w:p w:rsidR="007932BF" w:rsidRPr="007932BF" w:rsidRDefault="007932BF" w:rsidP="007932BF">
      <w:pPr>
        <w:numPr>
          <w:ilvl w:val="0"/>
          <w:numId w:val="2"/>
        </w:numPr>
        <w:rPr>
          <w:b/>
          <w:bCs/>
        </w:rPr>
      </w:pPr>
      <w:r w:rsidRPr="007932BF">
        <w:rPr>
          <w:b/>
          <w:bCs/>
        </w:rPr>
        <w:t>RESPONDENT jest: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mikroprzedsiębiorcą</w:t>
      </w:r>
      <w:r w:rsidRPr="007932BF">
        <w:rPr>
          <w:vertAlign w:val="superscript"/>
        </w:rPr>
        <w:footnoteReference w:id="1"/>
      </w:r>
      <w:r w:rsidRPr="007932BF">
        <w:t>,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małym przedsiębiorcą</w:t>
      </w:r>
      <w:r w:rsidRPr="007932BF">
        <w:rPr>
          <w:vertAlign w:val="superscript"/>
        </w:rPr>
        <w:footnoteReference w:id="2"/>
      </w:r>
      <w:r w:rsidRPr="007932BF">
        <w:t>,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średnim przedsiębiorcą</w:t>
      </w:r>
      <w:r w:rsidRPr="007932BF">
        <w:rPr>
          <w:vertAlign w:val="superscript"/>
        </w:rPr>
        <w:footnoteReference w:id="3"/>
      </w:r>
      <w:r w:rsidRPr="007932BF">
        <w:t>,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żadne z powyższych.</w:t>
      </w:r>
    </w:p>
    <w:p w:rsidR="007932BF" w:rsidRPr="007932BF" w:rsidRDefault="007932BF" w:rsidP="007932BF"/>
    <w:p w:rsidR="007932BF" w:rsidRPr="007932BF" w:rsidRDefault="007932BF" w:rsidP="007932BF">
      <w:pPr>
        <w:numPr>
          <w:ilvl w:val="0"/>
          <w:numId w:val="2"/>
        </w:numPr>
        <w:rPr>
          <w:b/>
          <w:bCs/>
        </w:rPr>
      </w:pPr>
      <w:r w:rsidRPr="007932BF">
        <w:rPr>
          <w:b/>
          <w:bCs/>
        </w:rPr>
        <w:t>RESPONDENT oferuje na rynku/dysponuje potencjałem w zakresie następującej/następujących kategorii dóbr lub usług: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lastRenderedPageBreak/>
        <w:t>Administracja i HSE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BoP i morska sieć przesyłowa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Eksploatacja i utrzymanie części lądowej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Fundamenty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Kable eksportowe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Kable wewnętrzne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Lądowe stacje transformatorowe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Logistyka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Morskie stacje transformatorowe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Personel techniczny i inspekcyjny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Turbiny</w:t>
      </w:r>
    </w:p>
    <w:p w:rsidR="007932BF" w:rsidRPr="007932BF" w:rsidRDefault="007932BF" w:rsidP="007932BF">
      <w:pPr>
        <w:numPr>
          <w:ilvl w:val="1"/>
          <w:numId w:val="2"/>
        </w:numPr>
      </w:pPr>
      <w:r w:rsidRPr="007932BF">
        <w:t>Urządzenia portowe i zaplecze</w:t>
      </w:r>
      <w:r w:rsidRPr="007932BF">
        <w:rPr>
          <w:b/>
          <w:bCs/>
        </w:rPr>
        <w:br w:type="page"/>
      </w:r>
    </w:p>
    <w:p w:rsidR="007932BF" w:rsidRPr="007932BF" w:rsidRDefault="007932BF" w:rsidP="007932BF">
      <w:r w:rsidRPr="007932BF">
        <w:rPr>
          <w:b/>
          <w:bCs/>
        </w:rPr>
        <w:lastRenderedPageBreak/>
        <w:t xml:space="preserve">Część B. Kryteria </w:t>
      </w:r>
      <w:r w:rsidRPr="007932BF">
        <w:t>(kryteria wymienione poniżej w kolejności alfabetycznej należy uporządkować zgodnie z instrukcją)</w:t>
      </w:r>
    </w:p>
    <w:p w:rsidR="007932BF" w:rsidRPr="007932BF" w:rsidRDefault="007932BF" w:rsidP="007932BF"/>
    <w:p w:rsidR="007932BF" w:rsidRPr="007932BF" w:rsidRDefault="007932BF" w:rsidP="007932BF"/>
    <w:p w:rsidR="007932BF" w:rsidRPr="007932BF" w:rsidRDefault="007932BF" w:rsidP="007932BF">
      <w:pPr>
        <w:numPr>
          <w:ilvl w:val="0"/>
          <w:numId w:val="3"/>
        </w:numPr>
      </w:pPr>
      <w:r w:rsidRPr="007932BF">
        <w:t>bezpieczeństwo łańcucha dostaw,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 xml:space="preserve">cena, 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doświadczenie personelu wykonawcy zaangażowanego w realizację umowy,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dysponowanie centrum logistycznym zlokalizowanym w pobliżu MFW,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dysponowanie zespołem serwisowym zlokalizowanym w pobliżu MFW,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elastyczność harmonogramu na etapie budowy i serwisowania,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innowacyjność zastosowanych technologii,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 xml:space="preserve">koszt cyklu życia, 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prowadzenie badań naukowych lub prac rozwojowych w związku z prowadzoną działalnością gospodarczą,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resilience,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społeczna i zawodowa integracja osób społecznie marginalizowanych.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ślad węglowy przedmiotu umowy/emisyjność transportu,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średni czas bezawaryjnej pracy (MTBF),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termin realizacji,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współpraca z podmiotami systemu szkolnictwa wyższego i nauki,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współpraca z portami zlokalizowanymi w wyłącznej strefie ekonomicznej RP,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współpraca ze szkołami ponadpodstawowymi,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 xml:space="preserve">wydłużenie okresu gwarancji, 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zapewnienie zespołu szybkiego reagowania serwisowego,</w:t>
      </w:r>
    </w:p>
    <w:p w:rsidR="007932BF" w:rsidRPr="007932BF" w:rsidRDefault="007932BF" w:rsidP="007932BF">
      <w:pPr>
        <w:numPr>
          <w:ilvl w:val="0"/>
          <w:numId w:val="3"/>
        </w:numPr>
      </w:pPr>
      <w:r w:rsidRPr="007932BF">
        <w:t>zdolność wykonawcy do komunikowania się w języku polskim.</w:t>
      </w:r>
    </w:p>
    <w:p w:rsidR="007932BF" w:rsidRPr="007932BF" w:rsidRDefault="007932BF" w:rsidP="007932BF"/>
    <w:p w:rsidR="007932BF" w:rsidRPr="007932BF" w:rsidRDefault="007932BF" w:rsidP="007932BF"/>
    <w:p w:rsidR="007932BF" w:rsidRPr="007932BF" w:rsidRDefault="007932BF" w:rsidP="007932BF">
      <w:pPr>
        <w:rPr>
          <w:b/>
          <w:bCs/>
        </w:rPr>
      </w:pPr>
      <w:r w:rsidRPr="007932BF">
        <w:rPr>
          <w:b/>
          <w:bCs/>
        </w:rPr>
        <w:br w:type="page"/>
      </w:r>
    </w:p>
    <w:p w:rsidR="007932BF" w:rsidRPr="007932BF" w:rsidRDefault="007932BF" w:rsidP="007932BF">
      <w:pPr>
        <w:rPr>
          <w:b/>
          <w:bCs/>
        </w:rPr>
      </w:pPr>
      <w:r w:rsidRPr="007932BF">
        <w:rPr>
          <w:b/>
          <w:bCs/>
        </w:rPr>
        <w:lastRenderedPageBreak/>
        <w:t>SŁOWNICZEK</w:t>
      </w:r>
    </w:p>
    <w:p w:rsidR="007932BF" w:rsidRPr="007932BF" w:rsidRDefault="007932BF" w:rsidP="007932BF">
      <w:pPr>
        <w:rPr>
          <w:b/>
          <w:bCs/>
        </w:rPr>
      </w:pP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 xml:space="preserve">bezpieczeństwo łańcucha dostaw </w:t>
      </w:r>
      <w:r w:rsidRPr="007932BF">
        <w:t>– kryterium należy rozumieć w ten sposób, że inwestor powinien wybierać takie rozwiązania, których dostępność jest relatywnie niezakłócona i jest odporna na ryzyko ograniczeń w szczególności spowodowanych czynnikami losowymi związanymi z wystąpieniem zagrożeń sanitarnych, incydentów terrorystycznych lub konfliktów w stosunkach międzynarodowych na obszarach o istotnym znaczeniu dla łańcucha dostaw;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cena</w:t>
      </w:r>
      <w:r w:rsidRPr="007932BF">
        <w:t xml:space="preserve"> – kryterium należy rozumieć w ten sposób, że inwestor powinien wybierać rozwiązania możliwie najtańsze;</w:t>
      </w:r>
    </w:p>
    <w:p w:rsidR="007932BF" w:rsidRPr="007932BF" w:rsidRDefault="007932BF" w:rsidP="007932BF">
      <w:pPr>
        <w:numPr>
          <w:ilvl w:val="0"/>
          <w:numId w:val="4"/>
        </w:numPr>
        <w:rPr>
          <w:b/>
          <w:bCs/>
        </w:rPr>
      </w:pPr>
      <w:r w:rsidRPr="007932BF">
        <w:rPr>
          <w:b/>
          <w:bCs/>
        </w:rPr>
        <w:t xml:space="preserve">doświadczenie personelu wykonawcy zaangażowanego w realizację umowy </w:t>
      </w:r>
      <w:r w:rsidRPr="007932BF">
        <w:t>– kryterium należy rozumieć w ten sposób, że inwestor powinien wybierać takie oferty, przy których realizacji zaangażowany będzie personel posiadający możliwie największe doświadczenie przy realizacji zadań analogicznych do będących przedmiotem oferty;</w:t>
      </w:r>
    </w:p>
    <w:p w:rsidR="007932BF" w:rsidRPr="007932BF" w:rsidRDefault="007932BF" w:rsidP="007932BF">
      <w:pPr>
        <w:numPr>
          <w:ilvl w:val="0"/>
          <w:numId w:val="4"/>
        </w:numPr>
        <w:rPr>
          <w:b/>
          <w:bCs/>
        </w:rPr>
      </w:pPr>
      <w:r w:rsidRPr="007932BF">
        <w:rPr>
          <w:b/>
          <w:bCs/>
        </w:rPr>
        <w:t xml:space="preserve">dysponowanie centrum logistycznym zlokalizowanym w pobliżu MFW </w:t>
      </w:r>
      <w:r w:rsidRPr="007932BF">
        <w:t>– kryterium należy rozumieć w ten sposób, że inwestor powinien wybierać rozwiązania, zapewniające możliwie najszybszy dostęp do bazy zasobów materiałowych wykorzystywanych przy realizacji inwestycji, w celu jej usprawnienia;</w:t>
      </w:r>
    </w:p>
    <w:p w:rsidR="007932BF" w:rsidRPr="007932BF" w:rsidRDefault="007932BF" w:rsidP="007932BF">
      <w:pPr>
        <w:numPr>
          <w:ilvl w:val="0"/>
          <w:numId w:val="4"/>
        </w:numPr>
        <w:rPr>
          <w:b/>
          <w:bCs/>
        </w:rPr>
      </w:pPr>
      <w:r w:rsidRPr="007932BF">
        <w:rPr>
          <w:b/>
          <w:bCs/>
        </w:rPr>
        <w:t xml:space="preserve">dysponowanie zespołem serwisowym zlokalizowanym w pobliżu MFW </w:t>
      </w:r>
      <w:r w:rsidRPr="007932BF">
        <w:t xml:space="preserve">– kryterium należy rozumieć w ten sposób, że inwestor powinien wybierać takie rozwiązania, które na etapie eksploatacji MFW zapewniają możliwość jak najszybszej reakcji zespołu serwisowego, zdolnego do wykonania naprawy infrastruktury MFW; 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 xml:space="preserve">elastyczność harmonogramu na etapie budowy i serwisowania </w:t>
      </w:r>
      <w:r w:rsidRPr="007932BF">
        <w:t xml:space="preserve">– kryterium należy rozumieć w ten sposób, że inwestor powinien wybierać takie rozwiązania, które zapewniają możliwie najwyższą odporność na zaburzenia czynnikiem losowym 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innowacyjność zastosowanych technologii</w:t>
      </w:r>
      <w:r w:rsidRPr="007932BF">
        <w:t xml:space="preserve"> - kryterium należy rozumieć w ten sposób, że inwestor powinien wybierać takie rozwiązania, które jest oparte o najlepsze dostępne technologie, w szczególności będące przedmiotem ochrony patentowej na terytorium UE;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 xml:space="preserve">koszt cyklu życia </w:t>
      </w:r>
      <w:r w:rsidRPr="007932BF">
        <w:t>– kryterium należy rozumieć w ten sposób, że inwestor powinien wybierać takie rozwiązania, które generują możliwie najniższy koszt ekonomiczny w cyklu życia, rozumianym jako wszelkie możliwe kolejne lub powiązane fazy istnienia przedmiotu umowy, w szczególności badanie, rozwój, projektowanie przemysłowe, testowanie, produkcję, transport, używanie, naprawę, modernizację, zmianę, utrzymanie przez okres istnienia, logistykę, szkolenie, zużycie, wyburzenie, wycofanie i usuwanie;</w:t>
      </w:r>
    </w:p>
    <w:p w:rsidR="007932BF" w:rsidRPr="007932BF" w:rsidRDefault="007932BF" w:rsidP="007932BF">
      <w:pPr>
        <w:numPr>
          <w:ilvl w:val="0"/>
          <w:numId w:val="4"/>
        </w:numPr>
        <w:rPr>
          <w:b/>
          <w:bCs/>
        </w:rPr>
      </w:pPr>
      <w:r w:rsidRPr="007932BF">
        <w:rPr>
          <w:b/>
          <w:bCs/>
        </w:rPr>
        <w:t xml:space="preserve">prowadzenie badań naukowych lub prac rozwojowych w związku z prowadzoną działalnością gospodarczą </w:t>
      </w:r>
      <w:r w:rsidRPr="007932BF">
        <w:t>– kryterium należy rozumieć w ten sposób, że inwestor powinien wybierać takie rozwiązania, które rozwijane są w rezultacie prowadzenia przez oferującego je przedsiębiorcę badania naukowe lub prace rozwojowe w rozumieniu art. 7 ustawy z dnia 20 lipca 2018 r. Prawo o szkolnictwie wyższym i nauce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resilience</w:t>
      </w:r>
      <w:r w:rsidRPr="007932BF">
        <w:t xml:space="preserve"> – kryterium należy rozumieć w ten sposób, że inwestor powinien wybierać takie rozwiązania, które zapewniają możliwie dużą odporność przedmiotu inwestycji/dostawy na </w:t>
      </w:r>
      <w:r w:rsidRPr="007932BF">
        <w:lastRenderedPageBreak/>
        <w:t>zagrożenia zewnętrzne powodowane działaniem osób trzecich, takie jak w szczególności incydenty terrorystyczne, akty wandalizmu, czy innego rodzaju celowe wyrządzanie szkody;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społeczna i zawodowa integracja osób społecznie marginalizowanych</w:t>
      </w:r>
      <w:r w:rsidRPr="007932BF">
        <w:t xml:space="preserve"> – kryterium należy rozumieć w ten sposób, że inwestor powinien wybierać takie rozwiązania, które zakładają angażowanie społeczna i zawodowa integracja osób społecznie marginalizowanych, w szczególności:</w:t>
      </w:r>
    </w:p>
    <w:p w:rsidR="007932BF" w:rsidRPr="007932BF" w:rsidRDefault="007932BF" w:rsidP="007932BF">
      <w:pPr>
        <w:numPr>
          <w:ilvl w:val="1"/>
          <w:numId w:val="4"/>
        </w:numPr>
      </w:pPr>
      <w:r w:rsidRPr="007932BF">
        <w:t>bezrobotnych w rozumieniu ustawy z dnia 20 kwietnia 2004 r. o promocji zatrudnienia i instytucjach rynku pracy,</w:t>
      </w:r>
    </w:p>
    <w:p w:rsidR="007932BF" w:rsidRPr="007932BF" w:rsidRDefault="007932BF" w:rsidP="007932BF">
      <w:pPr>
        <w:numPr>
          <w:ilvl w:val="1"/>
          <w:numId w:val="4"/>
        </w:numPr>
      </w:pPr>
      <w:r w:rsidRPr="007932BF">
        <w:t>osób poszukujących pracy, niepozostających w zatrudnieniu lub niewykonujących innej pracy zarobkowej, w rozumieniu ustawy z dnia 20 kwietnia 2004 r. o promocji zatrudnienia i instytucjach rynku pracy,</w:t>
      </w:r>
    </w:p>
    <w:p w:rsidR="007932BF" w:rsidRPr="007932BF" w:rsidRDefault="007932BF" w:rsidP="007932BF">
      <w:pPr>
        <w:numPr>
          <w:ilvl w:val="1"/>
          <w:numId w:val="4"/>
        </w:numPr>
      </w:pPr>
      <w:r w:rsidRPr="007932BF">
        <w:t>osób, które uzyskały w Rzeczypospolitej Polskiej status uchodźcy lub ochronę uzupełniającą, o których mowa w ustawie z dnia 13 czerwca 2003 r. o udzielaniu cudzoziemcom ochrony na terytorium Rzeczypospolitej Polskiej,</w:t>
      </w:r>
    </w:p>
    <w:p w:rsidR="007932BF" w:rsidRPr="007932BF" w:rsidRDefault="007932BF" w:rsidP="007932BF">
      <w:pPr>
        <w:numPr>
          <w:ilvl w:val="1"/>
          <w:numId w:val="4"/>
        </w:numPr>
      </w:pPr>
      <w:r w:rsidRPr="007932BF">
        <w:t>osób do 30. roku życia oraz po ukończeniu 50. roku życia, posiadających status osoby poszukującej pracy, bez zatrudnienia,</w:t>
      </w:r>
    </w:p>
    <w:p w:rsidR="007932BF" w:rsidRPr="007932BF" w:rsidRDefault="007932BF" w:rsidP="007932BF">
      <w:pPr>
        <w:numPr>
          <w:ilvl w:val="0"/>
          <w:numId w:val="4"/>
        </w:numPr>
      </w:pPr>
      <w:bookmarkStart w:id="1" w:name="_Hlk160195772"/>
      <w:r w:rsidRPr="007932BF">
        <w:rPr>
          <w:b/>
          <w:bCs/>
        </w:rPr>
        <w:t>ślad węglowy przedmiotu umowy /emisyjność transportu</w:t>
      </w:r>
      <w:bookmarkEnd w:id="1"/>
      <w:r w:rsidRPr="007932BF">
        <w:t xml:space="preserve"> – kryterium należy rozumieć w ten sposób, że inwestor powinien wybierać takie rozwiązania, które zapewniają możliwie najniższy ślad węglowy przedmiotu umowy w całym cyklu życia, ze szczególnym uwzględnieniem emisyjności transportu;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średni czas bezawaryjnej pracy (MTBF)</w:t>
      </w:r>
      <w:r w:rsidRPr="007932BF">
        <w:t xml:space="preserve"> – kryterium należy rozumieć w ten sposób, że inwestor powinien wybierać takie rozwiązania, które zapewniają możliwie najdłuższy czas pracy pomiędzy możliwymi awariami lub innego rodzaju okolicznościami uniemożliwiającym czasową eksploatację MFW;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termin realizacji</w:t>
      </w:r>
      <w:r w:rsidRPr="007932BF">
        <w:t xml:space="preserve"> – kryterium należy rozumieć w ten sposób, że inwestor powinien wybierać takie rozwiązania, które pozwalają na możliwie istotne skrócenie harmonogramu realizacji umowy;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współpraca z podmiotami systemu szkolnictwa wyższego i nauki –</w:t>
      </w:r>
      <w:r w:rsidRPr="007932BF">
        <w:t xml:space="preserve"> kryterium należy rozumieć w ten sposób, że inwestor powinien wybierać takie rozwiązania, które zakładają realizację umowy we współpracy z podmiotami systemu szkolnictwa wyższego i nauki w rozumieniu art. 7 ustawy z dnia 20 lipca 2018 r. Prawo o szkolnictwie wyższym i nauce, lub wykorzystują rezultaty takiej współpracy;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współpraca z portami zlokalizowanymi w wyłącznej strefie ekonomicznej RP</w:t>
      </w:r>
      <w:r w:rsidRPr="007932BF">
        <w:t xml:space="preserve"> </w:t>
      </w:r>
      <w:r w:rsidRPr="007932BF">
        <w:rPr>
          <w:b/>
          <w:bCs/>
        </w:rPr>
        <w:t>–</w:t>
      </w:r>
      <w:r w:rsidRPr="007932BF">
        <w:t xml:space="preserve"> kryterium należy rozumieć w ten sposób, że inwestor powinien wybierać takie rozwiązania, które zakładają korzystanie z portów zlokalizowanych w odległości możliwie bliskiej względem obszaru, na którym realizowana jest inwestycja budowy MFW;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współpraca ze szkołami ponadpodstawowymi –</w:t>
      </w:r>
      <w:r w:rsidRPr="007932BF">
        <w:t xml:space="preserve"> kryterium należy rozumieć w ten sposób, że inwestor powinien wybierać takie rozwiązania, które zakładają realizację umowy we współpracy ze szkołami ponadpodstawowymi, lub wykorzystują rezultaty takiej współpracy;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lastRenderedPageBreak/>
        <w:t>wydłużenie okresu gwarancji</w:t>
      </w:r>
      <w:r w:rsidRPr="007932BF">
        <w:t xml:space="preserve"> </w:t>
      </w:r>
      <w:r w:rsidRPr="007932BF">
        <w:rPr>
          <w:b/>
          <w:bCs/>
        </w:rPr>
        <w:t>–</w:t>
      </w:r>
      <w:r w:rsidRPr="007932BF">
        <w:t xml:space="preserve"> kryterium należy rozumieć w ten sposób, że inwestor powinien wybierać takie rozwiązania, które obejmują gwarancję wydłużoną o maksymalnie długi okres względem minimum wskazanego przez inwestora;</w:t>
      </w:r>
    </w:p>
    <w:p w:rsidR="007932BF" w:rsidRPr="007932BF" w:rsidRDefault="007932BF" w:rsidP="007932BF">
      <w:pPr>
        <w:numPr>
          <w:ilvl w:val="0"/>
          <w:numId w:val="4"/>
        </w:numPr>
        <w:rPr>
          <w:b/>
          <w:bCs/>
        </w:rPr>
      </w:pPr>
      <w:r w:rsidRPr="007932BF">
        <w:rPr>
          <w:b/>
          <w:bCs/>
        </w:rPr>
        <w:t>zapewnienie zespołu szybkiego reagowania serwisowego –</w:t>
      </w:r>
      <w:r w:rsidRPr="007932BF">
        <w:t xml:space="preserve"> kryterium należy rozumieć w ten sposób, że inwestor powinien wybierać takie rozwiązania, które zapewniają możliwie szybki czas reakcji zespołu serwisowego, niezależnie od miejsca jego lokalizacji;</w:t>
      </w:r>
    </w:p>
    <w:p w:rsidR="007932BF" w:rsidRPr="007932BF" w:rsidRDefault="007932BF" w:rsidP="007932BF">
      <w:pPr>
        <w:numPr>
          <w:ilvl w:val="0"/>
          <w:numId w:val="4"/>
        </w:numPr>
      </w:pPr>
      <w:r w:rsidRPr="007932BF">
        <w:rPr>
          <w:b/>
          <w:bCs/>
        </w:rPr>
        <w:t>zdolność wykonawcy do komunikowania się w języku polskim –</w:t>
      </w:r>
      <w:r w:rsidRPr="007932BF">
        <w:t xml:space="preserve"> kryterium należy rozumieć w ten sposób, że inwestor powinien wybierać takie rozwiązania, które zakładają realizację umowy w sposób, który w ramach wszelkich kontaktów z inwestorem obejmuje komunikację w języku polskim.</w:t>
      </w:r>
    </w:p>
    <w:p w:rsidR="00DB4225" w:rsidRDefault="00DB4225"/>
    <w:sectPr w:rsidR="00DB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BF" w:rsidRDefault="007932BF" w:rsidP="007932BF">
      <w:pPr>
        <w:spacing w:after="0" w:line="240" w:lineRule="auto"/>
      </w:pPr>
      <w:r>
        <w:separator/>
      </w:r>
    </w:p>
  </w:endnote>
  <w:endnote w:type="continuationSeparator" w:id="0">
    <w:p w:rsidR="007932BF" w:rsidRDefault="007932BF" w:rsidP="0079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BF" w:rsidRDefault="007932BF" w:rsidP="007932BF">
      <w:pPr>
        <w:spacing w:after="0" w:line="240" w:lineRule="auto"/>
      </w:pPr>
      <w:r>
        <w:separator/>
      </w:r>
    </w:p>
  </w:footnote>
  <w:footnote w:type="continuationSeparator" w:id="0">
    <w:p w:rsidR="007932BF" w:rsidRDefault="007932BF" w:rsidP="007932BF">
      <w:pPr>
        <w:spacing w:after="0" w:line="240" w:lineRule="auto"/>
      </w:pPr>
      <w:r>
        <w:continuationSeparator/>
      </w:r>
    </w:p>
  </w:footnote>
  <w:footnote w:id="1">
    <w:p w:rsidR="007932BF" w:rsidRDefault="007932BF" w:rsidP="007932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Przedsiębiorca, który w co najmniej jednym roku z dwóch ostatnich lat obrotowych spełniał łącznie następujące warunki:</w:t>
      </w:r>
    </w:p>
    <w:p w:rsidR="007932BF" w:rsidRDefault="007932BF" w:rsidP="007932BF">
      <w:pPr>
        <w:pStyle w:val="Tekstprzypisudolnego"/>
        <w:jc w:val="both"/>
      </w:pPr>
      <w:r>
        <w:t>a) zatrudniał średniorocznie mniej niż 10 pracowników oraz</w:t>
      </w:r>
    </w:p>
    <w:p w:rsidR="007932BF" w:rsidRDefault="007932BF" w:rsidP="007932BF">
      <w:pPr>
        <w:pStyle w:val="Tekstprzypisudolnego"/>
        <w:jc w:val="both"/>
      </w:pPr>
      <w: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</w:footnote>
  <w:footnote w:id="2">
    <w:p w:rsidR="007932BF" w:rsidRDefault="007932BF" w:rsidP="007932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Przedsiębiorca, który w co najmniej jednym roku z dwóch ostatnich lat obrotowych spełniał łącznie następujące warunki:</w:t>
      </w:r>
    </w:p>
    <w:p w:rsidR="007932BF" w:rsidRDefault="007932BF" w:rsidP="007932BF">
      <w:pPr>
        <w:pStyle w:val="Tekstprzypisudolnego"/>
        <w:jc w:val="both"/>
      </w:pPr>
      <w:r>
        <w:t>a) zatrudniał średniorocznie mniej niż 50 pracowników oraz</w:t>
      </w:r>
    </w:p>
    <w:p w:rsidR="007932BF" w:rsidRDefault="007932BF" w:rsidP="007932BF">
      <w:pPr>
        <w:pStyle w:val="Tekstprzypisudolnego"/>
        <w:jc w:val="both"/>
      </w:pPr>
      <w: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7932BF" w:rsidRDefault="007932BF" w:rsidP="007932BF">
      <w:pPr>
        <w:pStyle w:val="Tekstprzypisudolnego"/>
        <w:jc w:val="both"/>
      </w:pPr>
      <w:r>
        <w:t>- nie będący mikroprzedsiębiorcą.</w:t>
      </w:r>
    </w:p>
  </w:footnote>
  <w:footnote w:id="3">
    <w:p w:rsidR="007932BF" w:rsidRDefault="007932BF" w:rsidP="007932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Przedsiębiorcę, który w co najmniej jednym roku z dwóch ostatnich lat obrotowych spełniał łącznie następujące warunki:</w:t>
      </w:r>
    </w:p>
    <w:p w:rsidR="007932BF" w:rsidRDefault="007932BF" w:rsidP="007932BF">
      <w:pPr>
        <w:pStyle w:val="Tekstprzypisudolnego"/>
        <w:jc w:val="both"/>
      </w:pPr>
      <w:r>
        <w:t>a) zatrudniał średniorocznie mniej niż 250 pracowników oraz</w:t>
      </w:r>
    </w:p>
    <w:p w:rsidR="007932BF" w:rsidRDefault="007932BF" w:rsidP="007932BF">
      <w:pPr>
        <w:pStyle w:val="Tekstprzypisudolnego"/>
        <w:jc w:val="both"/>
      </w:pPr>
      <w: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7932BF" w:rsidRDefault="007932BF" w:rsidP="007932BF">
      <w:pPr>
        <w:pStyle w:val="Tekstprzypisudolnego"/>
        <w:jc w:val="both"/>
      </w:pPr>
      <w:r>
        <w:t>- nie będący mikroprzedsiębiorcą ani małym przedsiębiorcą.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54C3"/>
    <w:multiLevelType w:val="hybridMultilevel"/>
    <w:tmpl w:val="03D4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215F"/>
    <w:multiLevelType w:val="hybridMultilevel"/>
    <w:tmpl w:val="1FF4577C"/>
    <w:lvl w:ilvl="0" w:tplc="86EC71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3786"/>
    <w:multiLevelType w:val="hybridMultilevel"/>
    <w:tmpl w:val="6E682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E789E"/>
    <w:multiLevelType w:val="hybridMultilevel"/>
    <w:tmpl w:val="219E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BF"/>
    <w:rsid w:val="00154265"/>
    <w:rsid w:val="007932BF"/>
    <w:rsid w:val="00D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DDE5461-C8FB-4C31-AF89-B043462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2BF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2BF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2BF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Ścięgosz Natalia [PGE Baltica Sp. z o.o.]</dc:creator>
  <cp:keywords/>
  <dc:description/>
  <cp:lastModifiedBy>Ścięgosz Natalia [PGE Baltica Sp. z o.o.]</cp:lastModifiedBy>
  <cp:revision>3</cp:revision>
  <dcterms:created xsi:type="dcterms:W3CDTF">2024-03-12T16:08:00Z</dcterms:created>
  <dcterms:modified xsi:type="dcterms:W3CDTF">2024-03-12T16:09:00Z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b5d990-821a-4d41-b503-280f184b2126_Enabled">
    <vt:lpwstr>true</vt:lpwstr>
  </property>
  <property fmtid="{D5CDD505-2E9C-101B-9397-08002B2CF9AE}" pid="3" name="MSIP_Label_66b5d990-821a-4d41-b503-280f184b2126_SetDate">
    <vt:lpwstr>2024-03-12T16:08:07Z</vt:lpwstr>
  </property>
  <property fmtid="{D5CDD505-2E9C-101B-9397-08002B2CF9AE}" pid="4" name="MSIP_Label_66b5d990-821a-4d41-b503-280f184b2126_Method">
    <vt:lpwstr>Privileged</vt:lpwstr>
  </property>
  <property fmtid="{D5CDD505-2E9C-101B-9397-08002B2CF9AE}" pid="5" name="MSIP_Label_66b5d990-821a-4d41-b503-280f184b2126_Name">
    <vt:lpwstr>ALL-Publiczne</vt:lpwstr>
  </property>
  <property fmtid="{D5CDD505-2E9C-101B-9397-08002B2CF9AE}" pid="6" name="MSIP_Label_66b5d990-821a-4d41-b503-280f184b2126_SiteId">
    <vt:lpwstr>e9895a11-04dc-4848-aa12-7fca9faefb60</vt:lpwstr>
  </property>
  <property fmtid="{D5CDD505-2E9C-101B-9397-08002B2CF9AE}" pid="7" name="MSIP_Label_66b5d990-821a-4d41-b503-280f184b2126_ActionId">
    <vt:lpwstr>04cd4747-fad7-48c6-9aca-141c06e3a53b</vt:lpwstr>
  </property>
  <property fmtid="{D5CDD505-2E9C-101B-9397-08002B2CF9AE}" pid="8" name="MSIP_Label_66b5d990-821a-4d41-b503-280f184b2126_ContentBits">
    <vt:lpwstr>0</vt:lpwstr>
  </property>
  <property fmtid="{D5CDD505-2E9C-101B-9397-08002B2CF9AE}" pid="9" name="_MarkAsFinal">
    <vt:bool>true</vt:bool>
  </property>
</Properties>
</file>